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93" w:rsidRDefault="00C61993" w:rsidP="003B30EA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GreenFIE: </w:t>
      </w:r>
      <w:r w:rsidR="003B30EA">
        <w:rPr>
          <w:rFonts w:ascii="Times New Roman" w:hAnsi="Times New Roman"/>
          <w:b/>
          <w:sz w:val="28"/>
          <w:szCs w:val="28"/>
        </w:rPr>
        <w:t>A Green Form-B</w:t>
      </w:r>
      <w:r>
        <w:rPr>
          <w:rFonts w:ascii="Times New Roman" w:hAnsi="Times New Roman"/>
          <w:b/>
          <w:sz w:val="28"/>
          <w:szCs w:val="28"/>
        </w:rPr>
        <w:t>ased</w:t>
      </w:r>
    </w:p>
    <w:p w:rsidR="003B30EA" w:rsidRDefault="00C61993" w:rsidP="003B30EA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Information-</w:t>
      </w:r>
      <w:r w:rsidR="003B30EA" w:rsidRPr="00A47EE6">
        <w:rPr>
          <w:rFonts w:ascii="Times New Roman" w:hAnsi="Times New Roman"/>
          <w:b/>
          <w:sz w:val="28"/>
          <w:szCs w:val="28"/>
        </w:rPr>
        <w:t>Extraction</w:t>
      </w:r>
      <w:r>
        <w:rPr>
          <w:rFonts w:ascii="Times New Roman" w:hAnsi="Times New Roman"/>
          <w:b/>
          <w:sz w:val="28"/>
          <w:szCs w:val="28"/>
        </w:rPr>
        <w:t xml:space="preserve"> System </w:t>
      </w:r>
      <w:r w:rsidR="003B30EA" w:rsidRPr="00A47EE6">
        <w:rPr>
          <w:rFonts w:ascii="Times New Roman" w:hAnsi="Times New Roman"/>
          <w:b/>
          <w:sz w:val="28"/>
          <w:szCs w:val="28"/>
        </w:rPr>
        <w:t>for Historical Documents</w:t>
      </w:r>
    </w:p>
    <w:p w:rsidR="003B30EA" w:rsidRDefault="00C61993" w:rsidP="003B30EA">
      <w:pPr>
        <w:pStyle w:val="NoSpacing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(Extended A</w:t>
      </w:r>
      <w:r w:rsidR="007C7B5B">
        <w:rPr>
          <w:rFonts w:ascii="Times New Roman" w:hAnsi="Times New Roman"/>
          <w:b/>
          <w:sz w:val="22"/>
          <w:szCs w:val="22"/>
        </w:rPr>
        <w:t>bstract)</w:t>
      </w:r>
    </w:p>
    <w:p w:rsidR="002576D7" w:rsidRPr="007C7B5B" w:rsidRDefault="002576D7" w:rsidP="003B30EA">
      <w:pPr>
        <w:pStyle w:val="NoSpacing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B30EA" w:rsidRPr="003B30EA" w:rsidRDefault="003B30EA" w:rsidP="003B30EA">
      <w:pPr>
        <w:pStyle w:val="NoSpacing"/>
        <w:jc w:val="center"/>
        <w:rPr>
          <w:rFonts w:ascii="Times New Roman" w:hAnsi="Times New Roman"/>
          <w:sz w:val="22"/>
          <w:szCs w:val="22"/>
        </w:rPr>
      </w:pPr>
      <w:r w:rsidRPr="003B30EA">
        <w:rPr>
          <w:rFonts w:ascii="Times New Roman" w:hAnsi="Times New Roman"/>
          <w:sz w:val="22"/>
          <w:szCs w:val="22"/>
        </w:rPr>
        <w:t>Tae Woo Kim</w:t>
      </w:r>
      <w:r>
        <w:rPr>
          <w:rFonts w:ascii="Times New Roman" w:hAnsi="Times New Roman"/>
          <w:sz w:val="22"/>
          <w:szCs w:val="22"/>
        </w:rPr>
        <w:t>, Computer Science Department, Brigham Young University</w:t>
      </w:r>
    </w:p>
    <w:p w:rsidR="003B30EA" w:rsidRDefault="003B30EA" w:rsidP="0083293B">
      <w:pPr>
        <w:pStyle w:val="NoSpacing"/>
        <w:jc w:val="center"/>
        <w:rPr>
          <w:rFonts w:ascii="Times New Roman" w:hAnsi="Times New Roman"/>
          <w:sz w:val="22"/>
          <w:szCs w:val="22"/>
        </w:rPr>
      </w:pPr>
      <w:r w:rsidRPr="003B30EA">
        <w:rPr>
          <w:rFonts w:ascii="Times New Roman" w:hAnsi="Times New Roman"/>
          <w:sz w:val="22"/>
          <w:szCs w:val="22"/>
        </w:rPr>
        <w:t>David W. Embley</w:t>
      </w:r>
      <w:r w:rsidR="00C61993">
        <w:rPr>
          <w:rFonts w:ascii="Times New Roman" w:hAnsi="Times New Roman"/>
          <w:sz w:val="22"/>
          <w:szCs w:val="22"/>
        </w:rPr>
        <w:t>, Advanced Technology Research, FamilySearch</w:t>
      </w:r>
    </w:p>
    <w:p w:rsidR="002E42A4" w:rsidRDefault="002E42A4" w:rsidP="003B30E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B30EA" w:rsidRDefault="003B30EA" w:rsidP="003B30E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Introduction</w:t>
      </w:r>
    </w:p>
    <w:p w:rsidR="003B30EA" w:rsidRDefault="003B30EA" w:rsidP="003B30E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B6B58" w:rsidRDefault="003B30EA" w:rsidP="00201832">
      <w:pPr>
        <w:pStyle w:val="NoSpacing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his 2012 Keynote Address at the Family History Technology Workshop, George Nagy advocated the use of “Green” systems</w:t>
      </w:r>
      <w:r w:rsidR="002E42A4">
        <w:rPr>
          <w:rFonts w:ascii="Times New Roman" w:hAnsi="Times New Roman"/>
          <w:sz w:val="22"/>
          <w:szCs w:val="22"/>
        </w:rPr>
        <w:t>—systems that improve themselves as they are used [Nagy12].</w:t>
      </w:r>
      <w:r w:rsidR="00EB27A4">
        <w:rPr>
          <w:rFonts w:ascii="Times New Roman" w:hAnsi="Times New Roman"/>
          <w:sz w:val="22"/>
          <w:szCs w:val="22"/>
        </w:rPr>
        <w:t xml:space="preserve">  GreenFIE is a </w:t>
      </w:r>
      <w:r w:rsidR="00EB27A4" w:rsidRPr="00EB27A4">
        <w:rPr>
          <w:rFonts w:ascii="Times New Roman" w:hAnsi="Times New Roman"/>
          <w:b/>
          <w:sz w:val="22"/>
          <w:szCs w:val="22"/>
        </w:rPr>
        <w:t>Green</w:t>
      </w:r>
      <w:r w:rsidR="00EB27A4">
        <w:rPr>
          <w:rFonts w:ascii="Times New Roman" w:hAnsi="Times New Roman"/>
          <w:sz w:val="22"/>
          <w:szCs w:val="22"/>
        </w:rPr>
        <w:t xml:space="preserve"> </w:t>
      </w:r>
      <w:r w:rsidR="00EB27A4" w:rsidRPr="00EB27A4">
        <w:rPr>
          <w:rFonts w:ascii="Times New Roman" w:hAnsi="Times New Roman"/>
          <w:b/>
          <w:sz w:val="22"/>
          <w:szCs w:val="22"/>
        </w:rPr>
        <w:t>F</w:t>
      </w:r>
      <w:r w:rsidR="00EB27A4">
        <w:rPr>
          <w:rFonts w:ascii="Times New Roman" w:hAnsi="Times New Roman"/>
          <w:sz w:val="22"/>
          <w:szCs w:val="22"/>
        </w:rPr>
        <w:t xml:space="preserve">orm-based </w:t>
      </w:r>
      <w:r w:rsidR="00EB27A4" w:rsidRPr="00EB27A4">
        <w:rPr>
          <w:rFonts w:ascii="Times New Roman" w:hAnsi="Times New Roman"/>
          <w:b/>
          <w:sz w:val="22"/>
          <w:szCs w:val="22"/>
        </w:rPr>
        <w:t>I</w:t>
      </w:r>
      <w:r w:rsidR="00EB27A4">
        <w:rPr>
          <w:rFonts w:ascii="Times New Roman" w:hAnsi="Times New Roman"/>
          <w:sz w:val="22"/>
          <w:szCs w:val="22"/>
        </w:rPr>
        <w:t>nformation</w:t>
      </w:r>
      <w:r w:rsidR="00C61993">
        <w:rPr>
          <w:rFonts w:ascii="Times New Roman" w:hAnsi="Times New Roman"/>
          <w:sz w:val="22"/>
          <w:szCs w:val="22"/>
        </w:rPr>
        <w:t>-</w:t>
      </w:r>
      <w:r w:rsidR="00EB27A4" w:rsidRPr="00EB27A4">
        <w:rPr>
          <w:rFonts w:ascii="Times New Roman" w:hAnsi="Times New Roman"/>
          <w:b/>
          <w:sz w:val="22"/>
          <w:szCs w:val="22"/>
        </w:rPr>
        <w:t>E</w:t>
      </w:r>
      <w:r w:rsidR="002F7421">
        <w:rPr>
          <w:rFonts w:ascii="Times New Roman" w:hAnsi="Times New Roman"/>
          <w:sz w:val="22"/>
          <w:szCs w:val="22"/>
        </w:rPr>
        <w:t>xtraction system f</w:t>
      </w:r>
      <w:r w:rsidR="00C61993">
        <w:rPr>
          <w:rFonts w:ascii="Times New Roman" w:hAnsi="Times New Roman"/>
          <w:sz w:val="22"/>
          <w:szCs w:val="22"/>
        </w:rPr>
        <w:t>or semi-automatic form-filling of</w:t>
      </w:r>
      <w:r w:rsidR="00EB27A4">
        <w:rPr>
          <w:rFonts w:ascii="Times New Roman" w:hAnsi="Times New Roman"/>
          <w:sz w:val="22"/>
          <w:szCs w:val="22"/>
        </w:rPr>
        <w:t xml:space="preserve"> genealogical information</w:t>
      </w:r>
      <w:r w:rsidR="00C61993">
        <w:rPr>
          <w:rFonts w:ascii="Times New Roman" w:hAnsi="Times New Roman"/>
          <w:sz w:val="22"/>
          <w:szCs w:val="22"/>
        </w:rPr>
        <w:t xml:space="preserve"> extracted</w:t>
      </w:r>
      <w:r w:rsidR="00A1252E">
        <w:rPr>
          <w:rFonts w:ascii="Times New Roman" w:hAnsi="Times New Roman"/>
          <w:sz w:val="22"/>
          <w:szCs w:val="22"/>
        </w:rPr>
        <w:t xml:space="preserve"> from</w:t>
      </w:r>
      <w:r w:rsidR="00EB27A4">
        <w:rPr>
          <w:rFonts w:ascii="Times New Roman" w:hAnsi="Times New Roman"/>
          <w:sz w:val="22"/>
          <w:szCs w:val="22"/>
        </w:rPr>
        <w:t xml:space="preserve"> fa</w:t>
      </w:r>
      <w:r w:rsidR="002F7421">
        <w:rPr>
          <w:rFonts w:ascii="Times New Roman" w:hAnsi="Times New Roman"/>
          <w:sz w:val="22"/>
          <w:szCs w:val="22"/>
        </w:rPr>
        <w:t>mily history documents.</w:t>
      </w:r>
    </w:p>
    <w:p w:rsidR="00201832" w:rsidRDefault="004B6B58" w:rsidP="007C7B5B">
      <w:pPr>
        <w:pStyle w:val="NoSpacing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GreenFIE</w:t>
      </w:r>
      <w:r w:rsidR="00355D7B">
        <w:rPr>
          <w:rFonts w:ascii="Times New Roman" w:hAnsi="Times New Roman"/>
          <w:sz w:val="22"/>
          <w:szCs w:val="22"/>
        </w:rPr>
        <w:t xml:space="preserve"> is built on top of COMET, a tool that allows</w:t>
      </w:r>
      <w:r w:rsidR="00A1252E">
        <w:rPr>
          <w:rFonts w:ascii="Times New Roman" w:hAnsi="Times New Roman"/>
          <w:sz w:val="22"/>
          <w:szCs w:val="22"/>
        </w:rPr>
        <w:t xml:space="preserve"> forms to be filled in </w:t>
      </w:r>
      <w:r w:rsidR="00355D7B">
        <w:rPr>
          <w:rFonts w:ascii="Times New Roman" w:hAnsi="Times New Roman"/>
          <w:sz w:val="22"/>
          <w:szCs w:val="22"/>
        </w:rPr>
        <w:t>with the information of interest from pages of</w:t>
      </w:r>
      <w:r w:rsidR="00A1252E">
        <w:rPr>
          <w:rFonts w:ascii="Times New Roman" w:hAnsi="Times New Roman"/>
          <w:sz w:val="22"/>
          <w:szCs w:val="22"/>
        </w:rPr>
        <w:t xml:space="preserve"> OCRed</w:t>
      </w:r>
      <w:r w:rsidR="00355D7B">
        <w:rPr>
          <w:rFonts w:ascii="Times New Roman" w:hAnsi="Times New Roman"/>
          <w:sz w:val="22"/>
          <w:szCs w:val="22"/>
        </w:rPr>
        <w:t xml:space="preserve"> historical documen</w:t>
      </w:r>
      <w:r w:rsidR="00A1252E">
        <w:rPr>
          <w:rFonts w:ascii="Times New Roman" w:hAnsi="Times New Roman"/>
          <w:sz w:val="22"/>
          <w:szCs w:val="22"/>
        </w:rPr>
        <w:t>ts. Starting from scratch, users</w:t>
      </w:r>
      <w:r w:rsidR="00355D7B">
        <w:rPr>
          <w:rFonts w:ascii="Times New Roman" w:hAnsi="Times New Roman"/>
          <w:sz w:val="22"/>
          <w:szCs w:val="22"/>
        </w:rPr>
        <w:t xml:space="preserve"> fill</w:t>
      </w:r>
      <w:r w:rsidR="00A1252E">
        <w:rPr>
          <w:rFonts w:ascii="Times New Roman" w:hAnsi="Times New Roman"/>
          <w:sz w:val="22"/>
          <w:szCs w:val="22"/>
        </w:rPr>
        <w:t xml:space="preserve"> in form fields as they</w:t>
      </w:r>
      <w:r w:rsidR="00355D7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click on </w:t>
      </w:r>
      <w:r w:rsidR="002F7421">
        <w:rPr>
          <w:rFonts w:ascii="Times New Roman" w:hAnsi="Times New Roman"/>
          <w:sz w:val="22"/>
          <w:szCs w:val="22"/>
        </w:rPr>
        <w:t>items of interest. M</w:t>
      </w:r>
      <w:r w:rsidR="00E935C3">
        <w:rPr>
          <w:rFonts w:ascii="Times New Roman" w:hAnsi="Times New Roman"/>
          <w:sz w:val="22"/>
          <w:szCs w:val="22"/>
        </w:rPr>
        <w:t>ore typically</w:t>
      </w:r>
      <w:r w:rsidR="002F7421">
        <w:rPr>
          <w:rFonts w:ascii="Times New Roman" w:hAnsi="Times New Roman"/>
          <w:sz w:val="22"/>
          <w:szCs w:val="22"/>
        </w:rPr>
        <w:t>, users</w:t>
      </w:r>
      <w:r w:rsidR="00E935C3">
        <w:rPr>
          <w:rFonts w:ascii="Times New Roman" w:hAnsi="Times New Roman"/>
          <w:sz w:val="22"/>
          <w:szCs w:val="22"/>
        </w:rPr>
        <w:t xml:space="preserve"> check and correct forms that have already been filled in automatically by an ensemble of information-extraction tools. </w:t>
      </w:r>
      <w:r w:rsidR="00213D91">
        <w:rPr>
          <w:rFonts w:ascii="Times New Roman" w:hAnsi="Times New Roman"/>
          <w:sz w:val="22"/>
          <w:szCs w:val="22"/>
        </w:rPr>
        <w:t>In our family-history application, forms are simple and are mo</w:t>
      </w:r>
      <w:r w:rsidR="00A1252E">
        <w:rPr>
          <w:rFonts w:ascii="Times New Roman" w:hAnsi="Times New Roman"/>
          <w:sz w:val="22"/>
          <w:szCs w:val="22"/>
        </w:rPr>
        <w:t xml:space="preserve">re like records (one for </w:t>
      </w:r>
      <w:r w:rsidR="00213D91">
        <w:rPr>
          <w:rFonts w:ascii="Times New Roman" w:hAnsi="Times New Roman"/>
          <w:sz w:val="22"/>
          <w:szCs w:val="22"/>
        </w:rPr>
        <w:t>birth and death information, one for marriage information, and one for parent parent</w:t>
      </w:r>
      <w:r w:rsidR="002F7421">
        <w:rPr>
          <w:rFonts w:ascii="Times New Roman" w:hAnsi="Times New Roman"/>
          <w:sz w:val="22"/>
          <w:szCs w:val="22"/>
        </w:rPr>
        <w:t>-child relationships</w:t>
      </w:r>
      <w:r w:rsidR="00213D91">
        <w:rPr>
          <w:rFonts w:ascii="Times New Roman" w:hAnsi="Times New Roman"/>
          <w:sz w:val="22"/>
          <w:szCs w:val="22"/>
        </w:rPr>
        <w:t xml:space="preserve">). </w:t>
      </w:r>
      <w:r w:rsidR="00D72506">
        <w:rPr>
          <w:rFonts w:ascii="Times New Roman" w:hAnsi="Times New Roman"/>
          <w:sz w:val="22"/>
          <w:szCs w:val="22"/>
        </w:rPr>
        <w:t>COMET maintains a collection of these record-like for</w:t>
      </w:r>
      <w:r>
        <w:rPr>
          <w:rFonts w:ascii="Times New Roman" w:hAnsi="Times New Roman"/>
          <w:sz w:val="22"/>
          <w:szCs w:val="22"/>
        </w:rPr>
        <w:t>ms for each page</w:t>
      </w:r>
      <w:r w:rsidR="00D72506">
        <w:rPr>
          <w:rFonts w:ascii="Times New Roman" w:hAnsi="Times New Roman"/>
          <w:sz w:val="22"/>
          <w:szCs w:val="22"/>
        </w:rPr>
        <w:t xml:space="preserve">. </w:t>
      </w:r>
      <w:r w:rsidR="00E935C3">
        <w:rPr>
          <w:rFonts w:ascii="Times New Roman" w:hAnsi="Times New Roman"/>
          <w:sz w:val="22"/>
          <w:szCs w:val="22"/>
        </w:rPr>
        <w:t>GreenFIE observes users as they work</w:t>
      </w:r>
      <w:r w:rsidR="00213D91">
        <w:rPr>
          <w:rFonts w:ascii="Times New Roman" w:hAnsi="Times New Roman"/>
          <w:sz w:val="22"/>
          <w:szCs w:val="22"/>
        </w:rPr>
        <w:t>. If a user corrects a record or adds a new one, GreenFIE creates a new extraction rule</w:t>
      </w:r>
      <w:r w:rsidR="00D72506">
        <w:rPr>
          <w:rFonts w:ascii="Times New Roman" w:hAnsi="Times New Roman"/>
          <w:sz w:val="22"/>
          <w:szCs w:val="22"/>
        </w:rPr>
        <w:t xml:space="preserve"> that would have correctly extracted the record, generalizes it, executes it, and adds any </w:t>
      </w:r>
      <w:r w:rsidR="00A1252E">
        <w:rPr>
          <w:rFonts w:ascii="Times New Roman" w:hAnsi="Times New Roman"/>
          <w:sz w:val="22"/>
          <w:szCs w:val="22"/>
        </w:rPr>
        <w:t xml:space="preserve">new </w:t>
      </w:r>
      <w:r w:rsidR="00D72506">
        <w:rPr>
          <w:rFonts w:ascii="Times New Roman" w:hAnsi="Times New Roman"/>
          <w:sz w:val="22"/>
          <w:szCs w:val="22"/>
        </w:rPr>
        <w:t>records it fin</w:t>
      </w:r>
      <w:r w:rsidR="00A1252E">
        <w:rPr>
          <w:rFonts w:ascii="Times New Roman" w:hAnsi="Times New Roman"/>
          <w:sz w:val="22"/>
          <w:szCs w:val="22"/>
        </w:rPr>
        <w:t xml:space="preserve">ds to the collection. </w:t>
      </w:r>
      <w:r w:rsidR="00D72506">
        <w:rPr>
          <w:rFonts w:ascii="Times New Roman" w:hAnsi="Times New Roman"/>
          <w:sz w:val="22"/>
          <w:szCs w:val="22"/>
        </w:rPr>
        <w:t>GreenFIE can also execute the new extraction rule on subsequent pages</w:t>
      </w:r>
      <w:r w:rsidR="00EC320C">
        <w:rPr>
          <w:rFonts w:ascii="Times New Roman" w:hAnsi="Times New Roman"/>
          <w:sz w:val="22"/>
          <w:szCs w:val="22"/>
        </w:rPr>
        <w:t xml:space="preserve"> in the user’s task</w:t>
      </w:r>
      <w:r w:rsidR="00D72506">
        <w:rPr>
          <w:rFonts w:ascii="Times New Roman" w:hAnsi="Times New Roman"/>
          <w:sz w:val="22"/>
          <w:szCs w:val="22"/>
        </w:rPr>
        <w:t>, prepopulatin</w:t>
      </w:r>
      <w:r w:rsidR="00EC320C">
        <w:rPr>
          <w:rFonts w:ascii="Times New Roman" w:hAnsi="Times New Roman"/>
          <w:sz w:val="22"/>
          <w:szCs w:val="22"/>
        </w:rPr>
        <w:t>g additional</w:t>
      </w:r>
      <w:r w:rsidR="002F7421">
        <w:rPr>
          <w:rFonts w:ascii="Times New Roman" w:hAnsi="Times New Roman"/>
          <w:sz w:val="22"/>
          <w:szCs w:val="22"/>
        </w:rPr>
        <w:t xml:space="preserve"> form</w:t>
      </w:r>
      <w:r w:rsidR="00EC320C">
        <w:rPr>
          <w:rFonts w:ascii="Times New Roman" w:hAnsi="Times New Roman"/>
          <w:sz w:val="22"/>
          <w:szCs w:val="22"/>
        </w:rPr>
        <w:t xml:space="preserve"> records in advance.</w:t>
      </w:r>
    </w:p>
    <w:p w:rsidR="00201832" w:rsidRDefault="00201832" w:rsidP="003B30E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GreenFIE</w:t>
      </w:r>
    </w:p>
    <w:p w:rsidR="00201832" w:rsidRPr="00201832" w:rsidRDefault="00201832" w:rsidP="003B30E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F7421" w:rsidRDefault="002F7421" w:rsidP="002F7421">
      <w:pPr>
        <w:pStyle w:val="NoSpacing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Figure</w:t>
      </w:r>
      <w:r w:rsidR="00201832">
        <w:rPr>
          <w:rFonts w:ascii="Times New Roman" w:hAnsi="Times New Roman"/>
          <w:sz w:val="22"/>
          <w:szCs w:val="22"/>
        </w:rPr>
        <w:t xml:space="preserve"> 1 </w:t>
      </w:r>
      <w:r>
        <w:rPr>
          <w:rFonts w:ascii="Times New Roman" w:hAnsi="Times New Roman"/>
          <w:sz w:val="22"/>
          <w:szCs w:val="22"/>
        </w:rPr>
        <w:t>shows the COMET interface with some record fields on the left filled in for Page 31 of</w:t>
      </w:r>
      <w:r w:rsidR="00A1252E">
        <w:rPr>
          <w:rFonts w:ascii="Times New Roman" w:hAnsi="Times New Roman"/>
          <w:sz w:val="22"/>
          <w:szCs w:val="22"/>
        </w:rPr>
        <w:t xml:space="preserve"> a transcript of</w:t>
      </w:r>
      <w:r>
        <w:rPr>
          <w:rFonts w:ascii="Times New Roman" w:hAnsi="Times New Roman"/>
          <w:sz w:val="22"/>
          <w:szCs w:val="22"/>
        </w:rPr>
        <w:t xml:space="preserve"> t</w:t>
      </w:r>
      <w:r w:rsidR="00A1252E">
        <w:rPr>
          <w:rFonts w:ascii="Times New Roman" w:hAnsi="Times New Roman"/>
          <w:sz w:val="22"/>
          <w:szCs w:val="22"/>
        </w:rPr>
        <w:t>he Kilbarchan Parish Record [Gr1912</w:t>
      </w:r>
      <w:r>
        <w:rPr>
          <w:rFonts w:ascii="Times New Roman" w:hAnsi="Times New Roman"/>
          <w:sz w:val="22"/>
          <w:szCs w:val="22"/>
        </w:rPr>
        <w:t xml:space="preserve">] on the right. As users fill-in form fields, they have the option of clicking on a </w:t>
      </w:r>
      <w:r w:rsidRPr="002F7421">
        <w:rPr>
          <w:rFonts w:ascii="Times New Roman" w:hAnsi="Times New Roman"/>
          <w:i/>
          <w:sz w:val="22"/>
          <w:szCs w:val="22"/>
        </w:rPr>
        <w:t>Regex</w:t>
      </w:r>
      <w:r w:rsidR="00A1252E">
        <w:rPr>
          <w:rFonts w:ascii="Times New Roman" w:hAnsi="Times New Roman"/>
          <w:sz w:val="22"/>
          <w:szCs w:val="22"/>
        </w:rPr>
        <w:t xml:space="preserve"> button on the right of each record</w:t>
      </w:r>
      <w:r>
        <w:rPr>
          <w:rFonts w:ascii="Times New Roman" w:hAnsi="Times New Roman"/>
          <w:sz w:val="22"/>
          <w:szCs w:val="22"/>
        </w:rPr>
        <w:t xml:space="preserve"> </w:t>
      </w:r>
      <w:r w:rsidR="00A1252E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 xml:space="preserve">hidden in Figure 1, but accessible as a user moves to the right). When a user clicks on the </w:t>
      </w:r>
      <w:r w:rsidRPr="002F7421">
        <w:rPr>
          <w:rFonts w:ascii="Times New Roman" w:hAnsi="Times New Roman"/>
          <w:i/>
          <w:sz w:val="22"/>
          <w:szCs w:val="22"/>
        </w:rPr>
        <w:t>Regex</w:t>
      </w:r>
      <w:r>
        <w:rPr>
          <w:rFonts w:ascii="Times New Roman" w:hAnsi="Times New Roman"/>
          <w:sz w:val="22"/>
          <w:szCs w:val="22"/>
        </w:rPr>
        <w:t xml:space="preserve"> button, GreenFIE</w:t>
      </w:r>
      <w:r w:rsidR="00AA151C">
        <w:rPr>
          <w:rFonts w:ascii="Times New Roman" w:hAnsi="Times New Roman"/>
          <w:sz w:val="22"/>
          <w:szCs w:val="22"/>
        </w:rPr>
        <w:t xml:space="preserve"> generates and generalizes a </w:t>
      </w:r>
      <w:r>
        <w:rPr>
          <w:rFonts w:ascii="Times New Roman" w:hAnsi="Times New Roman"/>
          <w:sz w:val="22"/>
          <w:szCs w:val="22"/>
        </w:rPr>
        <w:t xml:space="preserve">regular-expression extraction rule for the record </w:t>
      </w:r>
      <w:r w:rsidR="00AA151C">
        <w:rPr>
          <w:rFonts w:ascii="Times New Roman" w:hAnsi="Times New Roman"/>
          <w:sz w:val="22"/>
          <w:szCs w:val="22"/>
        </w:rPr>
        <w:t>and creates additional filled-in</w:t>
      </w:r>
      <w:r>
        <w:rPr>
          <w:rFonts w:ascii="Times New Roman" w:hAnsi="Times New Roman"/>
          <w:sz w:val="22"/>
          <w:szCs w:val="22"/>
        </w:rPr>
        <w:t xml:space="preserve"> records</w:t>
      </w:r>
      <w:r w:rsidR="00AA151C">
        <w:rPr>
          <w:rFonts w:ascii="Times New Roman" w:hAnsi="Times New Roman"/>
          <w:sz w:val="22"/>
          <w:szCs w:val="22"/>
        </w:rPr>
        <w:t>.</w:t>
      </w:r>
    </w:p>
    <w:p w:rsidR="002F7421" w:rsidRDefault="002F7421" w:rsidP="002F7421">
      <w:pPr>
        <w:pStyle w:val="NoSpacing"/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Figure 1, the u</w:t>
      </w:r>
      <w:r w:rsidR="00AA151C">
        <w:rPr>
          <w:rFonts w:ascii="Times New Roman" w:hAnsi="Times New Roman"/>
          <w:sz w:val="22"/>
          <w:szCs w:val="22"/>
        </w:rPr>
        <w:t>ser has</w:t>
      </w:r>
      <w:r>
        <w:rPr>
          <w:rFonts w:ascii="Times New Roman" w:hAnsi="Times New Roman"/>
          <w:sz w:val="22"/>
          <w:szCs w:val="22"/>
        </w:rPr>
        <w:t xml:space="preserve"> entered the highlighted information into the first record and clicked on the </w:t>
      </w:r>
      <w:r w:rsidRPr="002F7421">
        <w:rPr>
          <w:rFonts w:ascii="Times New Roman" w:hAnsi="Times New Roman"/>
          <w:i/>
          <w:sz w:val="22"/>
          <w:szCs w:val="22"/>
        </w:rPr>
        <w:t>Regex</w:t>
      </w:r>
      <w:r>
        <w:rPr>
          <w:rFonts w:ascii="Times New Roman" w:hAnsi="Times New Roman"/>
          <w:sz w:val="22"/>
          <w:szCs w:val="22"/>
        </w:rPr>
        <w:t xml:space="preserve"> button. As a result GreenFIE created and filled in the following 14 records.</w:t>
      </w:r>
      <w:r w:rsidR="00B5051A">
        <w:rPr>
          <w:rFonts w:ascii="Times New Roman" w:hAnsi="Times New Roman"/>
          <w:sz w:val="22"/>
          <w:szCs w:val="22"/>
        </w:rPr>
        <w:t xml:space="preserve"> For</w:t>
      </w:r>
      <w:r w:rsidR="00AA151C">
        <w:rPr>
          <w:rFonts w:ascii="Times New Roman" w:hAnsi="Times New Roman"/>
          <w:sz w:val="22"/>
          <w:szCs w:val="22"/>
        </w:rPr>
        <w:t xml:space="preserve"> the highlighted text in Figure 1</w:t>
      </w:r>
      <w:r w:rsidR="00B5051A">
        <w:rPr>
          <w:rFonts w:ascii="Times New Roman" w:hAnsi="Times New Roman"/>
          <w:sz w:val="22"/>
          <w:szCs w:val="22"/>
        </w:rPr>
        <w:t xml:space="preserve"> </w:t>
      </w:r>
      <w:r w:rsidR="00AA151C">
        <w:rPr>
          <w:rFonts w:ascii="Times New Roman" w:hAnsi="Times New Roman"/>
          <w:sz w:val="22"/>
          <w:szCs w:val="22"/>
        </w:rPr>
        <w:t>(“Jean, 6 Mar. 1698.”) a</w:t>
      </w:r>
      <w:r w:rsidR="00B5051A">
        <w:rPr>
          <w:rFonts w:ascii="Times New Roman" w:hAnsi="Times New Roman"/>
          <w:sz w:val="22"/>
          <w:szCs w:val="22"/>
        </w:rPr>
        <w:t xml:space="preserve"> regular expression</w:t>
      </w:r>
      <w:r w:rsidR="00AA151C">
        <w:rPr>
          <w:rFonts w:ascii="Times New Roman" w:hAnsi="Times New Roman"/>
          <w:sz w:val="22"/>
          <w:szCs w:val="22"/>
        </w:rPr>
        <w:t xml:space="preserve"> matching the information is:</w:t>
      </w:r>
    </w:p>
    <w:p w:rsidR="00B5051A" w:rsidRDefault="00B5051A" w:rsidP="00B5051A">
      <w:pPr>
        <w:pStyle w:val="NoSpacing"/>
        <w:spacing w:after="240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\n([A-Z]{1}[a-z]{3}),\s(\d{1</w:t>
      </w:r>
      <w:r w:rsidRPr="00EB1688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}</w:t>
      </w:r>
      <w:r w:rsidR="00D575E9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\s[A-Z]{1}[a-z]{2}\.\s\d{4})\.</w:t>
      </w:r>
    </w:p>
    <w:p w:rsidR="00201832" w:rsidRDefault="00F14A2F" w:rsidP="00F14A2F">
      <w:pPr>
        <w:shd w:val="clear" w:color="auto" w:fill="FFFFFF"/>
        <w:spacing w:before="0" w:after="0" w:line="240" w:lineRule="auto"/>
        <w:rPr>
          <w:rFonts w:ascii="Times New Roman" w:eastAsia="Times New Roman" w:hAnsi="Times New Roman"/>
          <w:color w:val="222222"/>
          <w:sz w:val="22"/>
          <w:szCs w:val="22"/>
          <w:lang w:bidi="ar-SA"/>
        </w:rPr>
      </w:pPr>
      <w:proofErr w:type="gramStart"/>
      <w:r>
        <w:rPr>
          <w:rFonts w:ascii="Times New Roman" w:hAnsi="Times New Roman"/>
          <w:sz w:val="22"/>
          <w:szCs w:val="22"/>
        </w:rPr>
        <w:t>where</w:t>
      </w:r>
      <w:proofErr w:type="gramEnd"/>
      <w:r>
        <w:rPr>
          <w:rFonts w:ascii="Times New Roman" w:hAnsi="Times New Roman"/>
          <w:sz w:val="22"/>
          <w:szCs w:val="22"/>
        </w:rPr>
        <w:t xml:space="preserve"> Capture-group 1 is the </w:t>
      </w:r>
      <w:r w:rsidRPr="00F14A2F">
        <w:rPr>
          <w:rFonts w:ascii="Times New Roman" w:hAnsi="Times New Roman"/>
          <w:b/>
          <w:sz w:val="22"/>
          <w:szCs w:val="22"/>
        </w:rPr>
        <w:t>Name</w:t>
      </w:r>
      <w:r>
        <w:rPr>
          <w:rFonts w:ascii="Times New Roman" w:hAnsi="Times New Roman"/>
          <w:sz w:val="22"/>
          <w:szCs w:val="22"/>
        </w:rPr>
        <w:t xml:space="preserve"> in the record and Capture-group 2 is the </w:t>
      </w:r>
      <w:proofErr w:type="spellStart"/>
      <w:r w:rsidRPr="00F14A2F">
        <w:rPr>
          <w:rFonts w:ascii="Times New Roman" w:hAnsi="Times New Roman"/>
          <w:b/>
          <w:sz w:val="22"/>
          <w:szCs w:val="22"/>
        </w:rPr>
        <w:t>ChristeningDate</w:t>
      </w:r>
      <w:proofErr w:type="spellEnd"/>
      <w:r>
        <w:rPr>
          <w:rFonts w:ascii="Times New Roman" w:hAnsi="Times New Roman"/>
          <w:sz w:val="22"/>
          <w:szCs w:val="22"/>
        </w:rPr>
        <w:t>. G</w:t>
      </w:r>
      <w:r w:rsidR="00B5051A">
        <w:rPr>
          <w:rFonts w:ascii="Times New Roman" w:hAnsi="Times New Roman"/>
          <w:sz w:val="22"/>
          <w:szCs w:val="22"/>
        </w:rPr>
        <w:t xml:space="preserve">reenFIE’s basic regex generalizer </w:t>
      </w:r>
      <w:r w:rsidR="00B5051A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for fields increases the span of quantifiers</w:t>
      </w:r>
      <w:r w:rsidR="007F64A6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of</w:t>
      </w:r>
      <w:r w:rsidRPr="00EB1688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[a-z]</w:t>
      </w:r>
      <w:r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and </w:t>
      </w:r>
      <w:r w:rsidRPr="00EB1688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\d</w:t>
      </w:r>
      <w:r w:rsidR="00B5051A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by</w:t>
      </w:r>
      <w:r w:rsidR="007F64A6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the ceiling of</w:t>
      </w:r>
      <w:r w:rsidR="00B5051A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plus and minus 40%</w:t>
      </w:r>
      <w:r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.  Thus, the generalized rule that extracts the additional 14 records is:</w:t>
      </w:r>
    </w:p>
    <w:p w:rsidR="00F14A2F" w:rsidRDefault="00F14A2F" w:rsidP="00F14A2F">
      <w:pPr>
        <w:shd w:val="clear" w:color="auto" w:fill="FFFFFF"/>
        <w:spacing w:before="0" w:after="0" w:line="240" w:lineRule="auto"/>
        <w:rPr>
          <w:rFonts w:ascii="Times New Roman" w:eastAsia="Times New Roman" w:hAnsi="Times New Roman"/>
          <w:color w:val="222222"/>
          <w:sz w:val="22"/>
          <w:szCs w:val="22"/>
          <w:lang w:bidi="ar-SA"/>
        </w:rPr>
      </w:pPr>
    </w:p>
    <w:p w:rsidR="00F14A2F" w:rsidRDefault="00F14A2F" w:rsidP="00F14A2F">
      <w:pPr>
        <w:shd w:val="clear" w:color="auto" w:fill="FFFFFF"/>
        <w:spacing w:before="0" w:after="0" w:line="240" w:lineRule="auto"/>
        <w:ind w:left="720"/>
        <w:rPr>
          <w:rFonts w:ascii="Times New Roman" w:eastAsia="Times New Roman" w:hAnsi="Times New Roman"/>
          <w:color w:val="222222"/>
          <w:sz w:val="22"/>
          <w:szCs w:val="22"/>
          <w:lang w:bidi="ar-SA"/>
        </w:rPr>
      </w:pPr>
      <w:r w:rsidRPr="00EB1688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\n([A-Z]{1}[a-z]{1,5}),\s(\d{0,2}\s[A</w:t>
      </w:r>
      <w:r w:rsidR="00D575E9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-Z]{1}[a-z]{1,3}\.\s\d{2,6})\.</w:t>
      </w:r>
    </w:p>
    <w:p w:rsidR="00F14A2F" w:rsidRPr="00F14A2F" w:rsidRDefault="00F14A2F" w:rsidP="00F14A2F">
      <w:pPr>
        <w:shd w:val="clear" w:color="auto" w:fill="FFFFFF"/>
        <w:spacing w:before="0" w:after="0" w:line="240" w:lineRule="auto"/>
        <w:rPr>
          <w:rFonts w:ascii="Times New Roman" w:eastAsia="Times New Roman" w:hAnsi="Times New Roman"/>
          <w:color w:val="222222"/>
          <w:sz w:val="22"/>
          <w:szCs w:val="22"/>
          <w:lang w:bidi="ar-SA"/>
        </w:rPr>
      </w:pPr>
    </w:p>
    <w:p w:rsidR="00EB1688" w:rsidRDefault="002E1AD4" w:rsidP="00EB1688">
      <w:pPr>
        <w:shd w:val="clear" w:color="auto" w:fill="FFFFFF"/>
        <w:spacing w:before="0" w:after="0" w:line="240" w:lineRule="auto"/>
        <w:rPr>
          <w:rFonts w:ascii="Times New Roman" w:eastAsia="Times New Roman" w:hAnsi="Times New Roman"/>
          <w:color w:val="222222"/>
          <w:sz w:val="22"/>
          <w:szCs w:val="22"/>
          <w:lang w:bidi="ar-SA"/>
        </w:rPr>
      </w:pPr>
      <w:r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Knowing the type of field allows us to better generalize extractio</w:t>
      </w:r>
      <w:r w:rsidR="00D831FE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n expressi</w:t>
      </w:r>
      <w:r w:rsidR="007F64A6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ons. G</w:t>
      </w:r>
      <w:r w:rsidR="00D575E9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eneraliz</w:t>
      </w:r>
      <w:r w:rsidR="00D831FE"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>ing</w:t>
      </w:r>
      <w:r>
        <w:rPr>
          <w:rFonts w:ascii="Times New Roman" w:eastAsia="Times New Roman" w:hAnsi="Times New Roman"/>
          <w:color w:val="222222"/>
          <w:sz w:val="22"/>
          <w:szCs w:val="22"/>
          <w:lang w:bidi="ar-SA"/>
        </w:rPr>
        <w:t xml:space="preserve"> given names and day-month-year dates to:</w:t>
      </w:r>
    </w:p>
    <w:p w:rsidR="007F64A6" w:rsidRPr="00EB1688" w:rsidRDefault="007F64A6" w:rsidP="00EB1688">
      <w:pPr>
        <w:shd w:val="clear" w:color="auto" w:fill="FFFFFF"/>
        <w:spacing w:before="0" w:after="0" w:line="240" w:lineRule="auto"/>
        <w:rPr>
          <w:rFonts w:ascii="Times New Roman" w:eastAsia="Times New Roman" w:hAnsi="Times New Roman"/>
          <w:color w:val="222222"/>
          <w:sz w:val="22"/>
          <w:szCs w:val="22"/>
          <w:lang w:bidi="ar-SA"/>
        </w:rPr>
      </w:pPr>
    </w:p>
    <w:p w:rsidR="00EB1688" w:rsidRDefault="00EB1688" w:rsidP="00D831FE">
      <w:pPr>
        <w:shd w:val="clear" w:color="auto" w:fill="FFFFFF"/>
        <w:spacing w:before="0" w:line="240" w:lineRule="auto"/>
        <w:ind w:left="720"/>
        <w:rPr>
          <w:rFonts w:ascii="Times New Roman" w:eastAsia="Times New Roman" w:hAnsi="Times New Roman"/>
          <w:color w:val="555555"/>
          <w:sz w:val="22"/>
          <w:szCs w:val="22"/>
          <w:lang w:bidi="ar-SA"/>
        </w:rPr>
      </w:pPr>
      <w:r w:rsidRPr="00EB1688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\n([A-Z]{1}[a-z]{1,15}),\s(\d{1,2}\s</w:t>
      </w:r>
      <w:r w:rsidR="002E1AD4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(</w:t>
      </w:r>
      <w:proofErr w:type="spellStart"/>
      <w:r w:rsidR="00D831FE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January|Jan</w:t>
      </w:r>
      <w:proofErr w:type="spellEnd"/>
      <w:r w:rsidR="00D831FE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\.?| … |Dec.\?</w:t>
      </w:r>
      <w:r w:rsidR="002E1AD4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)</w:t>
      </w:r>
      <w:r w:rsidRPr="00EB1688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\s\d{</w:t>
      </w:r>
      <w:r w:rsidR="00D575E9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4})\.</w:t>
      </w:r>
    </w:p>
    <w:p w:rsidR="004B0AC0" w:rsidRDefault="00D831FE" w:rsidP="00D831FE">
      <w:pPr>
        <w:shd w:val="clear" w:color="auto" w:fill="FFFFFF"/>
        <w:spacing w:before="0" w:line="240" w:lineRule="auto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lastRenderedPageBreak/>
        <w:t>extracts</w:t>
      </w:r>
      <w:proofErr w:type="gramEnd"/>
      <w:r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 all </w:t>
      </w:r>
      <w:r w:rsidR="00D575E9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32 of </w:t>
      </w:r>
      <w:r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the christenin</w:t>
      </w:r>
      <w:r w:rsidR="007D3744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g records on Page 31</w:t>
      </w:r>
      <w:r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.</w:t>
      </w:r>
      <w:r w:rsidR="00772F82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 Not all pages in the Kilbarchan Parish record are as regular</w:t>
      </w:r>
      <w:r w:rsidR="00720ABE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 as Page 31</w:t>
      </w:r>
      <w:r w:rsidR="00772F82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. Page 32, fo</w:t>
      </w:r>
      <w:r w:rsidR="00720ABE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r example, has </w:t>
      </w:r>
      <w:r w:rsidR="007D3744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some </w:t>
      </w:r>
      <w:r w:rsidR="00720ABE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>birth dates marked with the word “born” in place of christening dates. Other pages include twins on the same line with one</w:t>
      </w:r>
      <w:r w:rsidR="007F64A6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 birth or</w:t>
      </w:r>
      <w:r w:rsidR="00720ABE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 christening date.  And OCR errors appear occasionally; some are regular such as commas appearing as periods and vice versa, but others are unique, requiring human correction</w:t>
      </w:r>
      <w:r w:rsidR="00A21EB7">
        <w:rPr>
          <w:rFonts w:ascii="Times New Roman" w:eastAsia="Times New Roman" w:hAnsi="Times New Roman"/>
          <w:color w:val="555555"/>
          <w:sz w:val="22"/>
          <w:szCs w:val="22"/>
          <w:lang w:bidi="ar-SA"/>
        </w:rPr>
        <w:t xml:space="preserve"> and rendering them useless as patterns for extraction rules.</w:t>
      </w:r>
    </w:p>
    <w:p w:rsidR="00F955DD" w:rsidRDefault="00F955DD" w:rsidP="003B30EA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bidi="ar-SA"/>
        </w:rPr>
        <w:drawing>
          <wp:inline distT="0" distB="0" distL="0" distR="0">
            <wp:extent cx="5935980" cy="30632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832" w:rsidRDefault="00201832" w:rsidP="003B30EA">
      <w:pPr>
        <w:pStyle w:val="NoSpacing"/>
        <w:rPr>
          <w:rFonts w:ascii="Times New Roman" w:hAnsi="Times New Roman"/>
          <w:sz w:val="22"/>
          <w:szCs w:val="22"/>
        </w:rPr>
      </w:pPr>
    </w:p>
    <w:p w:rsidR="00201832" w:rsidRDefault="00201832" w:rsidP="003B30E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Experimental Results</w:t>
      </w:r>
    </w:p>
    <w:p w:rsidR="00201832" w:rsidRPr="00201832" w:rsidRDefault="00201832" w:rsidP="003B30E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8587E" w:rsidRDefault="006F6BBC" w:rsidP="00EB1688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Starting from scratch, we independently processed Pages 31 and 32 in the Kilbarchan Parish Record by iteratively filling in the fields in a record with the information for the first not-yet-extracted </w:t>
      </w:r>
      <w:r w:rsidR="00E44810">
        <w:rPr>
          <w:rFonts w:ascii="Times New Roman" w:hAnsi="Times New Roman"/>
          <w:sz w:val="22"/>
          <w:szCs w:val="22"/>
        </w:rPr>
        <w:t>name and</w:t>
      </w:r>
      <w:r w:rsidR="00D8587E">
        <w:rPr>
          <w:rFonts w:ascii="Times New Roman" w:hAnsi="Times New Roman"/>
          <w:sz w:val="22"/>
          <w:szCs w:val="22"/>
        </w:rPr>
        <w:t xml:space="preserve"> </w:t>
      </w:r>
      <w:r w:rsidR="00E44810">
        <w:rPr>
          <w:rFonts w:ascii="Times New Roman" w:hAnsi="Times New Roman"/>
          <w:sz w:val="22"/>
          <w:szCs w:val="22"/>
        </w:rPr>
        <w:t xml:space="preserve">christening or </w:t>
      </w:r>
      <w:r>
        <w:rPr>
          <w:rFonts w:ascii="Times New Roman" w:hAnsi="Times New Roman"/>
          <w:sz w:val="22"/>
          <w:szCs w:val="22"/>
        </w:rPr>
        <w:t>birth</w:t>
      </w:r>
      <w:r w:rsidR="00E44810">
        <w:rPr>
          <w:rFonts w:ascii="Times New Roman" w:hAnsi="Times New Roman"/>
          <w:sz w:val="22"/>
          <w:szCs w:val="22"/>
        </w:rPr>
        <w:t xml:space="preserve"> date</w:t>
      </w:r>
      <w:r w:rsidR="00D8587E">
        <w:rPr>
          <w:rFonts w:ascii="Times New Roman" w:hAnsi="Times New Roman"/>
          <w:sz w:val="22"/>
          <w:szCs w:val="22"/>
        </w:rPr>
        <w:t>. Table 1 shows the results.</w:t>
      </w:r>
    </w:p>
    <w:p w:rsidR="00D8587E" w:rsidRDefault="00D8587E" w:rsidP="00236004">
      <w:pPr>
        <w:pStyle w:val="NoSpacing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170"/>
        <w:gridCol w:w="1350"/>
        <w:gridCol w:w="918"/>
        <w:gridCol w:w="900"/>
        <w:gridCol w:w="900"/>
        <w:gridCol w:w="900"/>
        <w:gridCol w:w="900"/>
        <w:gridCol w:w="900"/>
      </w:tblGrid>
      <w:tr w:rsidR="00547219" w:rsidTr="00DF5971">
        <w:tc>
          <w:tcPr>
            <w:tcW w:w="7938" w:type="dxa"/>
            <w:gridSpan w:val="8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Table 1. Recall and Precision by GreenFIE Number of Extraction Rules Generated (%)</w:t>
            </w:r>
          </w:p>
        </w:tc>
      </w:tr>
      <w:tr w:rsidR="00DF5971" w:rsidTr="00DF5971">
        <w:tc>
          <w:tcPr>
            <w:tcW w:w="2520" w:type="dxa"/>
            <w:gridSpan w:val="2"/>
          </w:tcPr>
          <w:p w:rsidR="00547219" w:rsidRDefault="00547219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Rule Generation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8" w:type="dxa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547219" w:rsidRDefault="00547219" w:rsidP="00547219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DF5971" w:rsidTr="00DF5971">
        <w:tc>
          <w:tcPr>
            <w:tcW w:w="117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31</w:t>
            </w:r>
          </w:p>
        </w:tc>
        <w:tc>
          <w:tcPr>
            <w:tcW w:w="135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Recall</w:t>
            </w:r>
          </w:p>
        </w:tc>
        <w:tc>
          <w:tcPr>
            <w:tcW w:w="918" w:type="dxa"/>
          </w:tcPr>
          <w:p w:rsidR="00D8587E" w:rsidRDefault="00D8587E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900" w:type="dxa"/>
          </w:tcPr>
          <w:p w:rsidR="00D8587E" w:rsidRDefault="00D8587E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900" w:type="dxa"/>
          </w:tcPr>
          <w:p w:rsidR="00D8587E" w:rsidRDefault="00D8587E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900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900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971" w:rsidTr="00DF5971">
        <w:tc>
          <w:tcPr>
            <w:tcW w:w="117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Precision</w:t>
            </w:r>
          </w:p>
        </w:tc>
        <w:tc>
          <w:tcPr>
            <w:tcW w:w="918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236004" w:rsidP="00547219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971" w:rsidTr="00DF5971">
        <w:tc>
          <w:tcPr>
            <w:tcW w:w="117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Page 32</w:t>
            </w:r>
          </w:p>
        </w:tc>
        <w:tc>
          <w:tcPr>
            <w:tcW w:w="135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Recall</w:t>
            </w:r>
          </w:p>
        </w:tc>
        <w:tc>
          <w:tcPr>
            <w:tcW w:w="918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DF5971" w:rsidTr="00DF5971">
        <w:tc>
          <w:tcPr>
            <w:tcW w:w="117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:rsidR="00D8587E" w:rsidRDefault="00D8587E" w:rsidP="0023600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Precision</w:t>
            </w:r>
          </w:p>
        </w:tc>
        <w:tc>
          <w:tcPr>
            <w:tcW w:w="918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D8587E" w:rsidRDefault="00C61993" w:rsidP="00C61993">
            <w:pPr>
              <w:pStyle w:val="NoSpacing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</w:tbl>
    <w:p w:rsidR="00D8587E" w:rsidRDefault="00D8587E" w:rsidP="00236004">
      <w:pPr>
        <w:pStyle w:val="NoSpacing"/>
        <w:rPr>
          <w:rFonts w:ascii="Times New Roman" w:hAnsi="Times New Roman"/>
          <w:sz w:val="22"/>
          <w:szCs w:val="22"/>
        </w:rPr>
      </w:pPr>
    </w:p>
    <w:p w:rsidR="00EB1688" w:rsidRDefault="00236004" w:rsidP="00236004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rate of recall coverage depends on the regularity of the page and GreenFIE’s</w:t>
      </w:r>
      <w:r w:rsidR="00E44810">
        <w:rPr>
          <w:rFonts w:ascii="Times New Roman" w:hAnsi="Times New Roman"/>
          <w:sz w:val="22"/>
          <w:szCs w:val="22"/>
        </w:rPr>
        <w:t xml:space="preserve"> generalization of</w:t>
      </w:r>
      <w:r>
        <w:rPr>
          <w:rFonts w:ascii="Times New Roman" w:hAnsi="Times New Roman"/>
          <w:sz w:val="22"/>
          <w:szCs w:val="22"/>
        </w:rPr>
        <w:t xml:space="preserve"> regex extraction rule</w:t>
      </w:r>
      <w:r w:rsidR="00E44810">
        <w:rPr>
          <w:rFonts w:ascii="Times New Roman" w:hAnsi="Times New Roman"/>
          <w:sz w:val="22"/>
          <w:szCs w:val="22"/>
        </w:rPr>
        <w:t>s</w:t>
      </w:r>
      <w:r w:rsidR="007D3744">
        <w:rPr>
          <w:rFonts w:ascii="Times New Roman" w:hAnsi="Times New Roman"/>
          <w:sz w:val="22"/>
          <w:szCs w:val="22"/>
        </w:rPr>
        <w:t>. Observe that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precision remains constant at 100%, which means that GreenFIE generates no rules that extract incorr</w:t>
      </w:r>
      <w:r w:rsidR="00547219">
        <w:rPr>
          <w:rFonts w:ascii="Times New Roman" w:hAnsi="Times New Roman"/>
          <w:sz w:val="22"/>
          <w:szCs w:val="22"/>
        </w:rPr>
        <w:t>ectly. Over-generalization can</w:t>
      </w:r>
      <w:r>
        <w:rPr>
          <w:rFonts w:ascii="Times New Roman" w:hAnsi="Times New Roman"/>
          <w:sz w:val="22"/>
          <w:szCs w:val="22"/>
        </w:rPr>
        <w:t xml:space="preserve"> lead to a reduction of precision.</w:t>
      </w:r>
    </w:p>
    <w:p w:rsidR="00201832" w:rsidRDefault="00201832" w:rsidP="003B30EA">
      <w:pPr>
        <w:pStyle w:val="NoSpacing"/>
        <w:rPr>
          <w:rFonts w:ascii="Times New Roman" w:hAnsi="Times New Roman"/>
          <w:sz w:val="22"/>
          <w:szCs w:val="22"/>
        </w:rPr>
      </w:pPr>
    </w:p>
    <w:p w:rsidR="00201832" w:rsidRDefault="00201832" w:rsidP="003B30E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Conclusion</w:t>
      </w:r>
    </w:p>
    <w:p w:rsidR="00E32CC2" w:rsidRDefault="00E32CC2" w:rsidP="003B30E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B6B58" w:rsidRPr="00E32CC2" w:rsidRDefault="00E44810" w:rsidP="006F6BBC">
      <w:pPr>
        <w:pStyle w:val="NoSpacing"/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575E9">
        <w:rPr>
          <w:rFonts w:ascii="Times New Roman" w:hAnsi="Times New Roman"/>
          <w:sz w:val="24"/>
          <w:szCs w:val="24"/>
        </w:rPr>
        <w:t xml:space="preserve"> demonstration version of GreenFIE</w:t>
      </w:r>
      <w:r>
        <w:rPr>
          <w:rFonts w:ascii="Times New Roman" w:hAnsi="Times New Roman"/>
          <w:sz w:val="24"/>
          <w:szCs w:val="24"/>
        </w:rPr>
        <w:t xml:space="preserve"> operates</w:t>
      </w:r>
      <w:r w:rsidR="00D575E9">
        <w:rPr>
          <w:rFonts w:ascii="Times New Roman" w:hAnsi="Times New Roman"/>
          <w:sz w:val="24"/>
          <w:szCs w:val="24"/>
        </w:rPr>
        <w:t xml:space="preserve"> with basic generalizations </w:t>
      </w:r>
      <w:r w:rsidR="006F6BBC">
        <w:rPr>
          <w:rFonts w:ascii="Times New Roman" w:hAnsi="Times New Roman"/>
          <w:sz w:val="24"/>
          <w:szCs w:val="24"/>
        </w:rPr>
        <w:t>on single pages</w:t>
      </w:r>
      <w:r w:rsidR="00D575E9">
        <w:rPr>
          <w:rFonts w:ascii="Times New Roman" w:hAnsi="Times New Roman"/>
          <w:sz w:val="24"/>
          <w:szCs w:val="24"/>
        </w:rPr>
        <w:t>.</w:t>
      </w:r>
      <w:r w:rsidR="006F6BBC">
        <w:rPr>
          <w:rFonts w:ascii="Times New Roman" w:hAnsi="Times New Roman"/>
          <w:sz w:val="24"/>
          <w:szCs w:val="24"/>
        </w:rPr>
        <w:t xml:space="preserve"> Current efforts are focused on initialization of subsequent pages with the collection of extraction rules accumulated by processing previous pages.</w:t>
      </w:r>
      <w:r>
        <w:rPr>
          <w:rFonts w:ascii="Times New Roman" w:hAnsi="Times New Roman"/>
          <w:sz w:val="24"/>
          <w:szCs w:val="24"/>
        </w:rPr>
        <w:t xml:space="preserve"> Application</w:t>
      </w:r>
      <w:r w:rsidR="00D575E9">
        <w:rPr>
          <w:rFonts w:ascii="Times New Roman" w:hAnsi="Times New Roman"/>
          <w:sz w:val="24"/>
          <w:szCs w:val="24"/>
        </w:rPr>
        <w:t>-sp</w:t>
      </w:r>
      <w:r w:rsidR="006F6BBC">
        <w:rPr>
          <w:rFonts w:ascii="Times New Roman" w:hAnsi="Times New Roman"/>
          <w:sz w:val="24"/>
          <w:szCs w:val="24"/>
        </w:rPr>
        <w:t>ecific generalizations are</w:t>
      </w:r>
      <w:r w:rsidR="00D575E9">
        <w:rPr>
          <w:rFonts w:ascii="Times New Roman" w:hAnsi="Times New Roman"/>
          <w:sz w:val="24"/>
          <w:szCs w:val="24"/>
        </w:rPr>
        <w:t xml:space="preserve"> on the backlog.</w:t>
      </w:r>
      <w:r w:rsidR="006F6BBC">
        <w:rPr>
          <w:rFonts w:ascii="Times New Roman" w:hAnsi="Times New Roman"/>
          <w:sz w:val="24"/>
          <w:szCs w:val="24"/>
        </w:rPr>
        <w:t xml:space="preserve"> </w:t>
      </w:r>
      <w:r w:rsidR="00D57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Although there</w:t>
      </w:r>
      <w:r w:rsidR="006F6BBC">
        <w:rPr>
          <w:rFonts w:ascii="Times New Roman" w:hAnsi="Times New Roman"/>
          <w:sz w:val="24"/>
          <w:szCs w:val="24"/>
        </w:rPr>
        <w:t xml:space="preserve"> is still much to do, the </w:t>
      </w:r>
      <w:r w:rsidR="00D575E9">
        <w:rPr>
          <w:rFonts w:ascii="Times New Roman" w:hAnsi="Times New Roman"/>
          <w:sz w:val="24"/>
          <w:szCs w:val="24"/>
        </w:rPr>
        <w:t>ex</w:t>
      </w:r>
      <w:r w:rsidR="00547219">
        <w:rPr>
          <w:rFonts w:ascii="Times New Roman" w:hAnsi="Times New Roman"/>
          <w:sz w:val="24"/>
          <w:szCs w:val="24"/>
        </w:rPr>
        <w:t xml:space="preserve">perimental result </w:t>
      </w:r>
      <w:r w:rsidR="00D575E9">
        <w:rPr>
          <w:rFonts w:ascii="Times New Roman" w:hAnsi="Times New Roman"/>
          <w:sz w:val="24"/>
          <w:szCs w:val="24"/>
        </w:rPr>
        <w:t>look promising</w:t>
      </w:r>
      <w:r w:rsidR="006F6BBC">
        <w:rPr>
          <w:rFonts w:ascii="Times New Roman" w:hAnsi="Times New Roman"/>
          <w:sz w:val="24"/>
          <w:szCs w:val="24"/>
        </w:rPr>
        <w:t>.</w:t>
      </w:r>
    </w:p>
    <w:p w:rsidR="00201832" w:rsidRDefault="00201832" w:rsidP="003B30E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References</w:t>
      </w:r>
    </w:p>
    <w:p w:rsidR="00772F82" w:rsidRDefault="00772F82" w:rsidP="00772F82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[Nagy12] G. Nagy, Keynote Address: Back to the Future, </w:t>
      </w:r>
      <w:r>
        <w:rPr>
          <w:rFonts w:ascii="Times New Roman" w:hAnsi="Times New Roman"/>
          <w:i/>
          <w:sz w:val="24"/>
          <w:szCs w:val="24"/>
        </w:rPr>
        <w:t>Family History Technology Workshop</w:t>
      </w:r>
      <w:r>
        <w:rPr>
          <w:rFonts w:ascii="Times New Roman" w:hAnsi="Times New Roman"/>
          <w:sz w:val="24"/>
          <w:szCs w:val="24"/>
        </w:rPr>
        <w:t>, Salt Lake City, Utah, February, 2012.</w:t>
      </w:r>
    </w:p>
    <w:p w:rsidR="00772F82" w:rsidRPr="00772F82" w:rsidRDefault="00772F82" w:rsidP="003B30E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[Gr1912] F.J. Grant (ed.), </w:t>
      </w:r>
      <w:r w:rsidRPr="00772F82">
        <w:rPr>
          <w:rFonts w:ascii="Times New Roman" w:hAnsi="Times New Roman"/>
          <w:i/>
          <w:sz w:val="24"/>
          <w:szCs w:val="24"/>
        </w:rPr>
        <w:t>The Register of Marriages and Baptisms in the PARISH OF KILBARCHAN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2F82">
        <w:rPr>
          <w:rFonts w:ascii="Times New Roman" w:hAnsi="Times New Roman"/>
          <w:i/>
          <w:sz w:val="24"/>
          <w:szCs w:val="24"/>
        </w:rPr>
        <w:t>1649–1772</w:t>
      </w:r>
      <w:r>
        <w:rPr>
          <w:rFonts w:ascii="Times New Roman" w:hAnsi="Times New Roman"/>
          <w:sz w:val="24"/>
          <w:szCs w:val="24"/>
        </w:rPr>
        <w:t>, Edinburgh, Scotland, J. Skinner &amp; Company, LTD., 1912.</w:t>
      </w:r>
    </w:p>
    <w:sectPr w:rsidR="00772F82" w:rsidRPr="0077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D1055"/>
    <w:multiLevelType w:val="hybridMultilevel"/>
    <w:tmpl w:val="E20A3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EA"/>
    <w:rsid w:val="00201832"/>
    <w:rsid w:val="00213D91"/>
    <w:rsid w:val="00214DEA"/>
    <w:rsid w:val="00236004"/>
    <w:rsid w:val="002576D7"/>
    <w:rsid w:val="002D0D9E"/>
    <w:rsid w:val="002E1AD4"/>
    <w:rsid w:val="002E42A4"/>
    <w:rsid w:val="002F7421"/>
    <w:rsid w:val="00355D7B"/>
    <w:rsid w:val="003B30EA"/>
    <w:rsid w:val="004B0AC0"/>
    <w:rsid w:val="004B6B58"/>
    <w:rsid w:val="00533644"/>
    <w:rsid w:val="00547219"/>
    <w:rsid w:val="006F6BBC"/>
    <w:rsid w:val="00720ABE"/>
    <w:rsid w:val="00772F82"/>
    <w:rsid w:val="007854DC"/>
    <w:rsid w:val="007C7B5B"/>
    <w:rsid w:val="007D3744"/>
    <w:rsid w:val="007F64A6"/>
    <w:rsid w:val="0083293B"/>
    <w:rsid w:val="0086308C"/>
    <w:rsid w:val="00A1252E"/>
    <w:rsid w:val="00A21EB7"/>
    <w:rsid w:val="00AA151C"/>
    <w:rsid w:val="00B5051A"/>
    <w:rsid w:val="00BF4720"/>
    <w:rsid w:val="00C61993"/>
    <w:rsid w:val="00D575E9"/>
    <w:rsid w:val="00D72506"/>
    <w:rsid w:val="00D831FE"/>
    <w:rsid w:val="00D8587E"/>
    <w:rsid w:val="00DF5971"/>
    <w:rsid w:val="00E32CC2"/>
    <w:rsid w:val="00E44810"/>
    <w:rsid w:val="00E935C3"/>
    <w:rsid w:val="00EB1688"/>
    <w:rsid w:val="00EB27A4"/>
    <w:rsid w:val="00EC320C"/>
    <w:rsid w:val="00F14A2F"/>
    <w:rsid w:val="00F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FEE11-1FD5-4CDF-BB3F-207CC968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EA"/>
    <w:pPr>
      <w:spacing w:before="200" w:after="200" w:line="276" w:lineRule="auto"/>
    </w:pPr>
    <w:rPr>
      <w:rFonts w:ascii="Calibri" w:eastAsia="Calibri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0EA"/>
    <w:pPr>
      <w:pBdr>
        <w:top w:val="single" w:sz="24" w:space="0" w:color="727CA3"/>
        <w:left w:val="single" w:sz="24" w:space="0" w:color="727CA3"/>
        <w:bottom w:val="single" w:sz="24" w:space="0" w:color="727CA3"/>
        <w:right w:val="single" w:sz="24" w:space="0" w:color="727CA3"/>
      </w:pBdr>
      <w:shd w:val="clear" w:color="auto" w:fill="727CA3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B30EA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3B30EA"/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3B30EA"/>
    <w:rPr>
      <w:rFonts w:ascii="Calibri" w:eastAsia="Calibri" w:hAnsi="Calibri" w:cs="Times New Roman"/>
      <w:b/>
      <w:bCs/>
      <w:caps/>
      <w:color w:val="FFFFFF"/>
      <w:spacing w:val="15"/>
      <w:shd w:val="clear" w:color="auto" w:fill="727CA3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68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688"/>
    <w:rPr>
      <w:rFonts w:ascii="Tahoma" w:eastAsia="Calibri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39"/>
    <w:rsid w:val="00D8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Wayne Embley</dc:creator>
  <cp:lastModifiedBy>David Wayne Embley</cp:lastModifiedBy>
  <cp:revision>8</cp:revision>
  <dcterms:created xsi:type="dcterms:W3CDTF">2017-01-14T21:47:00Z</dcterms:created>
  <dcterms:modified xsi:type="dcterms:W3CDTF">2017-01-16T19:02:00Z</dcterms:modified>
</cp:coreProperties>
</file>